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6183" w:rsidRPr="00DE6183" w:rsidRDefault="00DE6183" w:rsidP="00DE6183">
      <w:pPr>
        <w:pStyle w:val="Titel"/>
        <w:rPr>
          <w:lang w:val="en-US"/>
        </w:rPr>
      </w:pPr>
      <w:r w:rsidRPr="00DE6183">
        <w:rPr>
          <w:lang w:val="en-US"/>
        </w:rPr>
        <w:t>dSTORM on-a-chip - Sample Preparat</w:t>
      </w:r>
      <w:r>
        <w:rPr>
          <w:lang w:val="en-US"/>
        </w:rPr>
        <w:t>i</w:t>
      </w:r>
      <w:r w:rsidRPr="00DE6183">
        <w:rPr>
          <w:lang w:val="en-US"/>
        </w:rPr>
        <w:t>on</w:t>
      </w:r>
    </w:p>
    <w:p w:rsidR="00DE6183" w:rsidRDefault="00DE6183" w:rsidP="000D42F1">
      <w:pPr>
        <w:pStyle w:val="KeinLeerraum"/>
        <w:rPr>
          <w:lang w:val="en-US"/>
        </w:rPr>
      </w:pPr>
    </w:p>
    <w:p w:rsidR="000D42F1" w:rsidRDefault="000D42F1" w:rsidP="000D42F1">
      <w:pPr>
        <w:pStyle w:val="berschrift1"/>
        <w:rPr>
          <w:lang w:val="en-US"/>
        </w:rPr>
      </w:pPr>
      <w:r>
        <w:rPr>
          <w:lang w:val="en-US"/>
        </w:rPr>
        <w:t xml:space="preserve">Protocol for best coupling </w:t>
      </w:r>
    </w:p>
    <w:p w:rsidR="000D42F1" w:rsidRDefault="000D42F1" w:rsidP="000D42F1">
      <w:pPr>
        <w:pStyle w:val="KeinLeerraum"/>
        <w:numPr>
          <w:ilvl w:val="0"/>
          <w:numId w:val="2"/>
        </w:numPr>
        <w:rPr>
          <w:lang w:val="en-US"/>
        </w:rPr>
      </w:pPr>
      <w:r>
        <w:rPr>
          <w:lang w:val="en-US"/>
        </w:rPr>
        <w:t>Best NA 0.4-0.5</w:t>
      </w:r>
    </w:p>
    <w:p w:rsidR="000D42F1" w:rsidRDefault="000D42F1" w:rsidP="000D42F1">
      <w:pPr>
        <w:pStyle w:val="KeinLeerraum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From simulations: If NA is too large, low incoupling efficiency, due to…? </w:t>
      </w:r>
    </w:p>
    <w:p w:rsidR="000D42F1" w:rsidRDefault="000D42F1" w:rsidP="000D42F1">
      <w:pPr>
        <w:pStyle w:val="KeinLeerraum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5B792B" wp14:editId="6E444986">
            <wp:extent cx="3114812" cy="1699846"/>
            <wp:effectExtent l="0" t="0" r="0" b="254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8-07-23 12.05.54.jpg"/>
                    <pic:cNvPicPr/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13" t="52137" r="57229" b="28307"/>
                    <a:stretch/>
                  </pic:blipFill>
                  <pic:spPr bwMode="auto">
                    <a:xfrm>
                      <a:off x="0" y="0"/>
                      <a:ext cx="3124382" cy="1705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2F1" w:rsidRDefault="000D42F1" w:rsidP="000D42F1">
      <w:pPr>
        <w:pStyle w:val="KeinLeerraum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If Laser intensity is too small =&gt; Use too lasers from both sides </w:t>
      </w:r>
    </w:p>
    <w:p w:rsidR="000D42F1" w:rsidRDefault="000D42F1" w:rsidP="000D42F1">
      <w:pPr>
        <w:pStyle w:val="KeinLeerraum"/>
        <w:numPr>
          <w:ilvl w:val="0"/>
          <w:numId w:val="2"/>
        </w:numPr>
        <w:rPr>
          <w:lang w:val="en-US"/>
        </w:rPr>
      </w:pPr>
      <w:r>
        <w:rPr>
          <w:lang w:val="en-US"/>
        </w:rPr>
        <w:t>Use smallest Light-Guide that is possible, otherwise Intensity drops down</w:t>
      </w:r>
    </w:p>
    <w:p w:rsidR="000D42F1" w:rsidRDefault="000D42F1" w:rsidP="000D42F1">
      <w:pPr>
        <w:pStyle w:val="KeinLeerraum"/>
        <w:numPr>
          <w:ilvl w:val="0"/>
          <w:numId w:val="2"/>
        </w:numPr>
        <w:rPr>
          <w:lang w:val="en-US"/>
        </w:rPr>
      </w:pPr>
      <w:r>
        <w:rPr>
          <w:lang w:val="en-US"/>
        </w:rPr>
        <w:t>Observe the speckle/diffraction pattern behind the Chip (How should it look like? )</w:t>
      </w:r>
    </w:p>
    <w:p w:rsidR="000D42F1" w:rsidRDefault="000D42F1" w:rsidP="000D42F1">
      <w:pPr>
        <w:pStyle w:val="KeinLeerraum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Tilting and shifting the lens is not such a serious problem, but keep variations low! </w:t>
      </w:r>
    </w:p>
    <w:p w:rsidR="000D42F1" w:rsidRDefault="000D42F1" w:rsidP="000D42F1">
      <w:pPr>
        <w:pStyle w:val="KeinLeerraum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F50226" wp14:editId="5B6033A9">
            <wp:extent cx="3962400" cy="1569697"/>
            <wp:effectExtent l="0" t="0" r="0" b="571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8-07-23 12.05.54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49" t="19627" r="49089" b="62301"/>
                    <a:stretch/>
                  </pic:blipFill>
                  <pic:spPr bwMode="auto">
                    <a:xfrm>
                      <a:off x="0" y="0"/>
                      <a:ext cx="3977488" cy="1575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2F1" w:rsidRPr="000D42F1" w:rsidRDefault="000D42F1" w:rsidP="000D42F1">
      <w:pPr>
        <w:pStyle w:val="KeinLeerraum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Chip – (tilted/misaligned) coupling lens – Laser </w:t>
      </w:r>
    </w:p>
    <w:p w:rsidR="000D42F1" w:rsidRDefault="000D42F1" w:rsidP="000D42F1">
      <w:pPr>
        <w:pStyle w:val="KeinLeerraum"/>
        <w:rPr>
          <w:lang w:val="en-US"/>
        </w:rPr>
      </w:pPr>
    </w:p>
    <w:p w:rsidR="000D42F1" w:rsidRDefault="000D42F1" w:rsidP="000D42F1">
      <w:pPr>
        <w:pStyle w:val="berschrift1"/>
        <w:rPr>
          <w:lang w:val="en-US"/>
        </w:rPr>
      </w:pPr>
      <w:r>
        <w:rPr>
          <w:lang w:val="en-US"/>
        </w:rPr>
        <w:t>Sample preparation - Protocol</w:t>
      </w:r>
    </w:p>
    <w:p w:rsidR="000D42F1" w:rsidRDefault="000D42F1" w:rsidP="000D42F1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Prepare the PDMS chamber (Cut with knife from Petri Dish)</w:t>
      </w:r>
    </w:p>
    <w:p w:rsidR="000D42F1" w:rsidRDefault="000D42F1" w:rsidP="000D42F1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Cut small window</w:t>
      </w:r>
    </w:p>
    <w:p w:rsidR="000D42F1" w:rsidRDefault="000D42F1" w:rsidP="000D42F1">
      <w:pPr>
        <w:pStyle w:val="Listenabsatz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24DFE3" wp14:editId="10ADCFEC">
            <wp:extent cx="1746738" cy="1570306"/>
            <wp:effectExtent l="0" t="0" r="0" b="508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8-07-23 12.05.54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84" t="7615" r="13408" b="74313"/>
                    <a:stretch/>
                  </pic:blipFill>
                  <pic:spPr bwMode="auto">
                    <a:xfrm>
                      <a:off x="0" y="0"/>
                      <a:ext cx="1752709" cy="1575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2F1" w:rsidRDefault="000D42F1" w:rsidP="000D42F1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Put cell into opening of the window (Small </w:t>
      </w:r>
      <w:r w:rsidRPr="000D42F1">
        <w:rPr>
          <w:lang w:val="en-US"/>
        </w:rPr>
        <w:t xml:space="preserve">Drop inside the </w:t>
      </w:r>
      <w:r>
        <w:rPr>
          <w:lang w:val="en-US"/>
        </w:rPr>
        <w:t xml:space="preserve">window that roughly fills the volume of the chamber; don’t put too much fluid into the volume!) </w:t>
      </w:r>
    </w:p>
    <w:p w:rsidR="000D42F1" w:rsidRDefault="000D42F1" w:rsidP="000D42F1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Let cells attach to the glass </w:t>
      </w:r>
    </w:p>
    <w:p w:rsidR="000D42F1" w:rsidRDefault="000D42F1" w:rsidP="000D42F1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But the chip into the incubator</w:t>
      </w:r>
    </w:p>
    <w:p w:rsidR="000D42F1" w:rsidRDefault="000D42F1" w:rsidP="000D42F1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Let it grow! </w:t>
      </w:r>
    </w:p>
    <w:p w:rsidR="000D42F1" w:rsidRDefault="000D42F1" w:rsidP="000D42F1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Apply MEA Buffer on the cells</w:t>
      </w:r>
    </w:p>
    <w:p w:rsidR="000D42F1" w:rsidRDefault="000D42F1" w:rsidP="000D42F1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Seal it with coverglass</w:t>
      </w:r>
    </w:p>
    <w:p w:rsidR="000D42F1" w:rsidRDefault="000D42F1" w:rsidP="000D42F1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1 Sample can last for couple of hours!</w:t>
      </w:r>
    </w:p>
    <w:p w:rsidR="000D42F1" w:rsidRDefault="000D42F1" w:rsidP="000D42F1">
      <w:pPr>
        <w:pStyle w:val="Listenabsatz"/>
        <w:numPr>
          <w:ilvl w:val="1"/>
          <w:numId w:val="2"/>
        </w:numPr>
        <w:rPr>
          <w:lang w:val="en-US"/>
        </w:rPr>
      </w:pPr>
      <w:r>
        <w:rPr>
          <w:lang w:val="en-US"/>
        </w:rPr>
        <w:t>If you want to image the cells again, remove coverglass (tricky, it can break!) and apply some more MEA buffer</w:t>
      </w:r>
    </w:p>
    <w:p w:rsidR="000D42F1" w:rsidRDefault="000D42F1" w:rsidP="000D42F1">
      <w:pPr>
        <w:rPr>
          <w:lang w:val="en-US"/>
        </w:rPr>
      </w:pPr>
    </w:p>
    <w:p w:rsidR="000D42F1" w:rsidRDefault="000D42F1" w:rsidP="000D42F1">
      <w:pPr>
        <w:pStyle w:val="berschrift1"/>
        <w:rPr>
          <w:lang w:val="en-US"/>
        </w:rPr>
      </w:pPr>
      <w:r>
        <w:rPr>
          <w:lang w:val="en-US"/>
        </w:rPr>
        <w:t xml:space="preserve">Clean the Chip – Protocol </w:t>
      </w:r>
    </w:p>
    <w:p w:rsidR="000D42F1" w:rsidRDefault="000D42F1" w:rsidP="000D42F1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Put the chip in a solution of Hellamanex 5% in H2O for 10 Minutes @ 70°C </w:t>
      </w:r>
    </w:p>
    <w:p w:rsidR="000D42F1" w:rsidRDefault="000D42F1" w:rsidP="000D42F1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Rinse with H20 </w:t>
      </w:r>
    </w:p>
    <w:p w:rsidR="000D42F1" w:rsidRDefault="000D42F1" w:rsidP="000D42F1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Rinse with Ethanol</w:t>
      </w:r>
    </w:p>
    <w:p w:rsidR="000D42F1" w:rsidRDefault="000D42F1" w:rsidP="000D42F1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Rinse with H20 Blow with Prpanol</w:t>
      </w:r>
    </w:p>
    <w:p w:rsidR="000D42F1" w:rsidRPr="000D42F1" w:rsidRDefault="000D42F1" w:rsidP="000D42F1">
      <w:pPr>
        <w:pStyle w:val="Listenabsatz"/>
        <w:numPr>
          <w:ilvl w:val="0"/>
          <w:numId w:val="2"/>
        </w:numPr>
        <w:rPr>
          <w:lang w:val="en-US"/>
        </w:rPr>
      </w:pPr>
    </w:p>
    <w:p w:rsidR="000D42F1" w:rsidRDefault="000D42F1" w:rsidP="000D42F1">
      <w:pPr>
        <w:pStyle w:val="berschrift1"/>
        <w:rPr>
          <w:lang w:val="en-US"/>
        </w:rPr>
      </w:pPr>
      <w:r>
        <w:rPr>
          <w:lang w:val="en-US"/>
        </w:rPr>
        <w:t xml:space="preserve">Tips and Tricks – Protocol </w:t>
      </w:r>
    </w:p>
    <w:p w:rsidR="000D42F1" w:rsidRDefault="000D42F1" w:rsidP="000D42F1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Use Alexa 647 dye and put it on the chip – without any cells</w:t>
      </w:r>
    </w:p>
    <w:p w:rsidR="000D42F1" w:rsidRDefault="000D42F1" w:rsidP="000D42F1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Observe the Blinking</w:t>
      </w:r>
    </w:p>
    <w:p w:rsidR="000D42F1" w:rsidRDefault="000D42F1" w:rsidP="000D42F1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HeLa-cells don’t work well</w:t>
      </w:r>
    </w:p>
    <w:p w:rsidR="000D42F1" w:rsidRDefault="000D42F1" w:rsidP="000D42F1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The flatter the cells the better! </w:t>
      </w:r>
    </w:p>
    <w:p w:rsidR="00146F20" w:rsidRDefault="00146F20" w:rsidP="00146F20">
      <w:pPr>
        <w:rPr>
          <w:lang w:val="en-US"/>
        </w:rPr>
      </w:pPr>
    </w:p>
    <w:p w:rsidR="00146F20" w:rsidRDefault="00146F20" w:rsidP="00146F20">
      <w:pPr>
        <w:autoSpaceDE w:val="0"/>
        <w:autoSpaceDN w:val="0"/>
        <w:adjustRightInd w:val="0"/>
        <w:rPr>
          <w:lang w:val="en-US"/>
        </w:rPr>
      </w:pPr>
    </w:p>
    <w:p w:rsidR="00146F20" w:rsidRPr="00146F20" w:rsidRDefault="00146F20" w:rsidP="00146F20">
      <w:pPr>
        <w:pStyle w:val="berschrift1"/>
        <w:rPr>
          <w:lang w:val="en-US"/>
        </w:rPr>
      </w:pPr>
      <w:r>
        <w:rPr>
          <w:lang w:val="en-US"/>
        </w:rPr>
        <w:t xml:space="preserve">Excerpt from </w:t>
      </w:r>
      <w:r w:rsidRPr="00146F20">
        <w:rPr>
          <w:lang w:val="en-US"/>
        </w:rPr>
        <w:t>Chip-based wide field-of-view nanoscopy</w:t>
      </w:r>
    </w:p>
    <w:p w:rsidR="00146F20" w:rsidRPr="00146F20" w:rsidRDefault="00146F20" w:rsidP="00146F20">
      <w:pPr>
        <w:rPr>
          <w:lang w:val="en-US"/>
        </w:rPr>
      </w:pPr>
      <w:r>
        <w:rPr>
          <w:rFonts w:ascii="Times New Roman" w:hAnsi="Times New Roman" w:cs="Times New Roman"/>
        </w:rPr>
        <w:t>Robin Diekmann</w:t>
      </w:r>
      <w:r>
        <w:rPr>
          <w:rFonts w:ascii="Times New Roman" w:hAnsi="Times New Roman" w:cs="Times New Roman"/>
          <w:sz w:val="14"/>
          <w:szCs w:val="14"/>
        </w:rPr>
        <w:t>1†</w:t>
      </w:r>
      <w:r>
        <w:rPr>
          <w:rFonts w:ascii="Times New Roman" w:hAnsi="Times New Roman" w:cs="Times New Roman"/>
          <w:sz w:val="14"/>
          <w:szCs w:val="14"/>
        </w:rPr>
        <w:t>et al</w:t>
      </w:r>
      <w:bookmarkStart w:id="0" w:name="_GoBack"/>
      <w:bookmarkEnd w:id="0"/>
    </w:p>
    <w:p w:rsidR="00DE6183" w:rsidRPr="00DE6183" w:rsidRDefault="00DE6183" w:rsidP="00DE6183">
      <w:pPr>
        <w:pStyle w:val="KeinLeerraum"/>
        <w:rPr>
          <w:lang w:val="en-US"/>
        </w:rPr>
      </w:pPr>
    </w:p>
    <w:p w:rsidR="00DE6183" w:rsidRPr="00DE6183" w:rsidRDefault="00DE6183" w:rsidP="00DE6183">
      <w:pPr>
        <w:pStyle w:val="KeinLeerraum"/>
        <w:rPr>
          <w:lang w:val="en-US"/>
        </w:rPr>
      </w:pPr>
      <w:r w:rsidRPr="00DE6183">
        <w:rPr>
          <w:lang w:val="en-US"/>
        </w:rPr>
        <w:t>Sample preparation. Sprague–Dawley male rats (Scanbur) were kept under</w:t>
      </w:r>
    </w:p>
    <w:p w:rsidR="00DE6183" w:rsidRPr="00DE6183" w:rsidRDefault="00DE6183" w:rsidP="00DE6183">
      <w:pPr>
        <w:pStyle w:val="KeinLeerraum"/>
        <w:rPr>
          <w:lang w:val="en-US"/>
        </w:rPr>
      </w:pPr>
      <w:r w:rsidRPr="00DE6183">
        <w:rPr>
          <w:lang w:val="en-US"/>
        </w:rPr>
        <w:t>standard conditions and fed standard chow ad libitum (Scanbur). The experimental</w:t>
      </w:r>
    </w:p>
    <w:p w:rsidR="00DE6183" w:rsidRPr="00DE6183" w:rsidRDefault="00DE6183" w:rsidP="00DE6183">
      <w:pPr>
        <w:pStyle w:val="KeinLeerraum"/>
        <w:rPr>
          <w:lang w:val="en-US"/>
        </w:rPr>
      </w:pPr>
      <w:r w:rsidRPr="00DE6183">
        <w:rPr>
          <w:lang w:val="en-US"/>
        </w:rPr>
        <w:t>protocols were approved by the Norwegian National Animal Research Authority</w:t>
      </w:r>
    </w:p>
    <w:p w:rsidR="00DE6183" w:rsidRPr="00DE6183" w:rsidRDefault="00DE6183" w:rsidP="00DE6183">
      <w:pPr>
        <w:pStyle w:val="KeinLeerraum"/>
        <w:rPr>
          <w:lang w:val="en-US"/>
        </w:rPr>
      </w:pPr>
      <w:r w:rsidRPr="00DE6183">
        <w:rPr>
          <w:lang w:val="en-US"/>
        </w:rPr>
        <w:t>(NARA) in accordance with the Norwegian Animal Experimental and Scientific</w:t>
      </w:r>
    </w:p>
    <w:p w:rsidR="00DE6183" w:rsidRPr="00DE6183" w:rsidRDefault="00DE6183" w:rsidP="00DE6183">
      <w:pPr>
        <w:pStyle w:val="KeinLeerraum"/>
        <w:rPr>
          <w:lang w:val="en-US"/>
        </w:rPr>
      </w:pPr>
      <w:r w:rsidRPr="00DE6183">
        <w:rPr>
          <w:lang w:val="en-US"/>
        </w:rPr>
        <w:t>Purposes Act of 1986. The rats (body weight 150–300 g) were anaesthetized with a</w:t>
      </w:r>
    </w:p>
    <w:p w:rsidR="00DE6183" w:rsidRPr="00DE6183" w:rsidRDefault="00DE6183" w:rsidP="00DE6183">
      <w:pPr>
        <w:pStyle w:val="KeinLeerraum"/>
        <w:rPr>
          <w:lang w:val="en-US"/>
        </w:rPr>
      </w:pPr>
      <w:r w:rsidRPr="00DE6183">
        <w:rPr>
          <w:lang w:val="en-US"/>
        </w:rPr>
        <w:t>mixture of medetomidin (Domitor vet, Orion) and ketamine (Ketalar, Pfizer) and</w:t>
      </w:r>
    </w:p>
    <w:p w:rsidR="00DE6183" w:rsidRPr="00DE6183" w:rsidRDefault="00DE6183" w:rsidP="00DE6183">
      <w:pPr>
        <w:pStyle w:val="KeinLeerraum"/>
        <w:rPr>
          <w:lang w:val="en-US"/>
        </w:rPr>
      </w:pPr>
      <w:r w:rsidRPr="00DE6183">
        <w:rPr>
          <w:lang w:val="en-US"/>
        </w:rPr>
        <w:t>LSECs were isolated and purified as described in ref. 36. Cleaned waveguide chips</w:t>
      </w:r>
    </w:p>
    <w:p w:rsidR="00DE6183" w:rsidRPr="00DE6183" w:rsidRDefault="00DE6183" w:rsidP="00DE6183">
      <w:pPr>
        <w:pStyle w:val="KeinLeerraum"/>
        <w:rPr>
          <w:lang w:val="en-US"/>
        </w:rPr>
      </w:pPr>
      <w:r w:rsidRPr="00DE6183">
        <w:rPr>
          <w:lang w:val="en-US"/>
        </w:rPr>
        <w:t xml:space="preserve">were coated with human fibronectin (50 </w:t>
      </w:r>
      <w:r>
        <w:t>μ</w:t>
      </w:r>
      <w:r w:rsidRPr="00DE6183">
        <w:rPr>
          <w:lang w:val="en-US"/>
        </w:rPr>
        <w:t>g ml</w:t>
      </w:r>
      <w:r w:rsidRPr="00DE6183">
        <w:rPr>
          <w:sz w:val="10"/>
          <w:szCs w:val="10"/>
          <w:lang w:val="en-US"/>
        </w:rPr>
        <w:t>–1</w:t>
      </w:r>
      <w:r w:rsidRPr="00DE6183">
        <w:rPr>
          <w:lang w:val="en-US"/>
        </w:rPr>
        <w:t>) for 10 min at room temperature.</w:t>
      </w:r>
    </w:p>
    <w:p w:rsidR="00DE6183" w:rsidRPr="00DE6183" w:rsidRDefault="00DE6183" w:rsidP="00DE6183">
      <w:pPr>
        <w:pStyle w:val="KeinLeerraum"/>
        <w:rPr>
          <w:lang w:val="en-US"/>
        </w:rPr>
      </w:pPr>
      <w:r w:rsidRPr="00DE6183">
        <w:rPr>
          <w:lang w:val="en-US"/>
        </w:rPr>
        <w:t>Isolated LSECs in RPMI 1640 were seeded on the fibronectin-coated waveguide</w:t>
      </w:r>
    </w:p>
    <w:p w:rsidR="00DE6183" w:rsidRPr="00DE6183" w:rsidRDefault="00DE6183" w:rsidP="00DE6183">
      <w:pPr>
        <w:pStyle w:val="KeinLeerraum"/>
        <w:rPr>
          <w:lang w:val="en-US"/>
        </w:rPr>
      </w:pPr>
      <w:r w:rsidRPr="00DE6183">
        <w:rPr>
          <w:lang w:val="en-US"/>
        </w:rPr>
        <w:t>chips and incubated for 1 h at 37 °C, followed by a washing step to remove</w:t>
      </w:r>
    </w:p>
    <w:p w:rsidR="00DE6183" w:rsidRPr="00DE6183" w:rsidRDefault="00DE6183" w:rsidP="00DE6183">
      <w:pPr>
        <w:pStyle w:val="KeinLeerraum"/>
        <w:rPr>
          <w:lang w:val="en-US"/>
        </w:rPr>
      </w:pPr>
      <w:r w:rsidRPr="00DE6183">
        <w:rPr>
          <w:lang w:val="en-US"/>
        </w:rPr>
        <w:t>non-attached cells and debris, and allowed to spread their cytoplasm for another 2 h.</w:t>
      </w:r>
    </w:p>
    <w:p w:rsidR="00DE6183" w:rsidRPr="00DE6183" w:rsidRDefault="00DE6183" w:rsidP="00DE6183">
      <w:pPr>
        <w:pStyle w:val="KeinLeerraum"/>
        <w:rPr>
          <w:lang w:val="en-US"/>
        </w:rPr>
      </w:pPr>
      <w:r w:rsidRPr="00DE6183">
        <w:rPr>
          <w:lang w:val="en-US"/>
        </w:rPr>
        <w:t>The cells were then washed with phosphate buffered saline (PBS) and fixed with 4%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DE6183">
        <w:rPr>
          <w:lang w:val="en-US"/>
        </w:rPr>
        <w:t xml:space="preserve">paraformaldehyde (PFA) in PBS and 0.02 M sucrose, pH 7.2 for 30 min. </w:t>
      </w:r>
      <w:r w:rsidRPr="000D42F1">
        <w:rPr>
          <w:lang w:val="en-US"/>
        </w:rPr>
        <w:t>Following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fixation, the cell membranes were permeabilized with 0.1% Triton X in PBS for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10 min at room temperature (RT). Actin was stained with Atto 488-phalloidin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(Sigma Aldrich), at 1:400 dilution in PBS, by 20 min incubation at RT. Membranes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were stained with CellMask Deep Red (Life Technologies), at 1:1,000 dilution in PBS,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 xml:space="preserve">by 10 min incubation at RT. Tubulin was either stained with 1:400 </w:t>
      </w:r>
      <w:r>
        <w:t>α</w:t>
      </w:r>
      <w:r w:rsidRPr="000D42F1">
        <w:rPr>
          <w:lang w:val="en-US"/>
        </w:rPr>
        <w:t>-tubulin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antibody, Alexa Fluor 488 (ThermoFisher Scientific), at 1:400 dilution in PBS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containing 5% bovine serum albumin, fraction V (AppliChem), by 20 min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 xml:space="preserve">incubation at RT, or with mouse anti </w:t>
      </w:r>
      <w:r>
        <w:t>β</w:t>
      </w:r>
      <w:r w:rsidRPr="000D42F1">
        <w:rPr>
          <w:lang w:val="en-US"/>
        </w:rPr>
        <w:t>-tubulin (Sigma Aldrich), at 1:400 dilution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in PBS/BSA, for 1 h at RT, followed by goat anti mouse Alexa Fluor 647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(ThermoFisher Scientific) at the same concentration as the primary antibody,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lastRenderedPageBreak/>
        <w:t>for 1 h at RT.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 xml:space="preserve">Dye surfaces were prepared by submerging </w:t>
      </w:r>
      <w:r w:rsidRPr="000D42F1">
        <w:rPr>
          <w:rFonts w:ascii="Cambria Math" w:hAnsi="Cambria Math" w:cs="Cambria Math"/>
          <w:sz w:val="13"/>
          <w:szCs w:val="13"/>
          <w:lang w:val="en-US"/>
        </w:rPr>
        <w:t>∼</w:t>
      </w:r>
      <w:r w:rsidRPr="000D42F1">
        <w:rPr>
          <w:lang w:val="en-US"/>
        </w:rPr>
        <w:t>50 nM Alexa 647 in 0.05%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poly-</w:t>
      </w:r>
      <w:r w:rsidRPr="000D42F1">
        <w:rPr>
          <w:sz w:val="10"/>
          <w:szCs w:val="10"/>
          <w:lang w:val="en-US"/>
        </w:rPr>
        <w:t>L</w:t>
      </w:r>
      <w:r w:rsidRPr="000D42F1">
        <w:rPr>
          <w:lang w:val="en-US"/>
        </w:rPr>
        <w:t xml:space="preserve">-lysine (Sigma Aldrich) and incubating it for </w:t>
      </w:r>
      <w:r w:rsidRPr="000D42F1">
        <w:rPr>
          <w:rFonts w:ascii="Cambria Math" w:hAnsi="Cambria Math" w:cs="Cambria Math"/>
          <w:sz w:val="13"/>
          <w:szCs w:val="13"/>
          <w:lang w:val="en-US"/>
        </w:rPr>
        <w:t>∼</w:t>
      </w:r>
      <w:r w:rsidRPr="000D42F1">
        <w:rPr>
          <w:lang w:val="en-US"/>
        </w:rPr>
        <w:t>20 min on the waveguide chip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or coverglass followed by an optional washing step. For measurements of the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achievable localization precision using high- and low-NA objective lenses on the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inverted conventional set-up, 200 nm TetraSpeck Microspheres (Thermo Fisher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 xml:space="preserve">Scientific) were diluted </w:t>
      </w:r>
      <w:r w:rsidRPr="000D42F1">
        <w:rPr>
          <w:rFonts w:ascii="Cambria Math" w:hAnsi="Cambria Math" w:cs="Cambria Math"/>
          <w:sz w:val="13"/>
          <w:szCs w:val="13"/>
          <w:lang w:val="en-US"/>
        </w:rPr>
        <w:t>∼</w:t>
      </w:r>
      <w:r w:rsidRPr="000D42F1">
        <w:rPr>
          <w:lang w:val="en-US"/>
        </w:rPr>
        <w:t>1:50 in Vectashield H-1000 (Vector Laboratories).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Alexa 647-labelled R50 nanorulers (Gattaquant) were prepared on the waveguide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by placing a polydimethylsiloxane (PDMS) chamber on the surface, washing it three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times with PBS, incubating it with 0.5 mg ml</w:t>
      </w:r>
      <w:r w:rsidRPr="000D42F1">
        <w:rPr>
          <w:sz w:val="10"/>
          <w:szCs w:val="10"/>
          <w:lang w:val="en-US"/>
        </w:rPr>
        <w:t xml:space="preserve">–1 </w:t>
      </w:r>
      <w:r w:rsidRPr="000D42F1">
        <w:rPr>
          <w:lang w:val="en-US"/>
        </w:rPr>
        <w:t>BSA-biotin (Sigma Aldrich) in PBS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for 5 min, incubating it with 0.5 mg ml</w:t>
      </w:r>
      <w:r w:rsidRPr="000D42F1">
        <w:rPr>
          <w:sz w:val="10"/>
          <w:szCs w:val="10"/>
          <w:lang w:val="en-US"/>
        </w:rPr>
        <w:t xml:space="preserve">–1 </w:t>
      </w:r>
      <w:r w:rsidRPr="000D42F1">
        <w:rPr>
          <w:lang w:val="en-US"/>
        </w:rPr>
        <w:t>neutravidin (VWR) in PBS for 5 min, and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 xml:space="preserve">incubating it with 0.5 </w:t>
      </w:r>
      <w:r>
        <w:t>μ</w:t>
      </w:r>
      <w:r w:rsidRPr="000D42F1">
        <w:rPr>
          <w:lang w:val="en-US"/>
        </w:rPr>
        <w:t xml:space="preserve">l R50 stock solution in 10 </w:t>
      </w:r>
      <w:r>
        <w:t>μ</w:t>
      </w:r>
      <w:r w:rsidRPr="000D42F1">
        <w:rPr>
          <w:lang w:val="en-US"/>
        </w:rPr>
        <w:t>l 60 mM MgCl</w:t>
      </w:r>
      <w:r w:rsidRPr="000D42F1">
        <w:rPr>
          <w:sz w:val="10"/>
          <w:szCs w:val="10"/>
          <w:lang w:val="en-US"/>
        </w:rPr>
        <w:t xml:space="preserve">2 </w:t>
      </w:r>
      <w:r w:rsidRPr="000D42F1">
        <w:rPr>
          <w:lang w:val="en-US"/>
        </w:rPr>
        <w:t>in PBS for 5 min.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Each step, beginning from the BSA-biotin incubation, was followed by washing two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or three times with 60 mM MgCl</w:t>
      </w:r>
      <w:r w:rsidRPr="000D42F1">
        <w:rPr>
          <w:sz w:val="10"/>
          <w:szCs w:val="10"/>
          <w:lang w:val="en-US"/>
        </w:rPr>
        <w:t xml:space="preserve">2 </w:t>
      </w:r>
      <w:r w:rsidRPr="000D42F1">
        <w:rPr>
          <w:lang w:val="en-US"/>
        </w:rPr>
        <w:t>in PBS. For imaging on the conventional inverted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set-up, the sample was prepared on a coverglass (#1.5) (Thermo Fisher Scientific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Gerhard Menzel) by placing a PDMS chamber on the surface, washing it three times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with PBS, incubating it with 5 mg ml</w:t>
      </w:r>
      <w:r w:rsidRPr="000D42F1">
        <w:rPr>
          <w:sz w:val="10"/>
          <w:szCs w:val="10"/>
          <w:lang w:val="en-US"/>
        </w:rPr>
        <w:t xml:space="preserve">–1 </w:t>
      </w:r>
      <w:r w:rsidRPr="000D42F1">
        <w:rPr>
          <w:lang w:val="en-US"/>
        </w:rPr>
        <w:t>BSA-biotin (Sigma Aldrich) in PBS for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5 min, washing it three times with PBS, incubating it with 0.5 mg ml</w:t>
      </w:r>
      <w:r w:rsidRPr="000D42F1">
        <w:rPr>
          <w:sz w:val="10"/>
          <w:szCs w:val="10"/>
          <w:lang w:val="en-US"/>
        </w:rPr>
        <w:t xml:space="preserve">–1 </w:t>
      </w:r>
      <w:r w:rsidRPr="000D42F1">
        <w:rPr>
          <w:lang w:val="en-US"/>
        </w:rPr>
        <w:t>neutravidin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 xml:space="preserve">(Thermo Fisher Scientific) in PBS for 10 min and incubating it with 2.5 </w:t>
      </w:r>
      <w:r>
        <w:t>μ</w:t>
      </w:r>
      <w:r w:rsidRPr="000D42F1">
        <w:rPr>
          <w:lang w:val="en-US"/>
        </w:rPr>
        <w:t>l R50 stock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 xml:space="preserve">solution in 25 </w:t>
      </w:r>
      <w:r>
        <w:t>μ</w:t>
      </w:r>
      <w:r w:rsidRPr="000D42F1">
        <w:rPr>
          <w:lang w:val="en-US"/>
        </w:rPr>
        <w:t>l 10 mM MgCl</w:t>
      </w:r>
      <w:r w:rsidRPr="000D42F1">
        <w:rPr>
          <w:sz w:val="10"/>
          <w:szCs w:val="10"/>
          <w:lang w:val="en-US"/>
        </w:rPr>
        <w:t xml:space="preserve">2 </w:t>
      </w:r>
      <w:r w:rsidRPr="000D42F1">
        <w:rPr>
          <w:lang w:val="en-US"/>
        </w:rPr>
        <w:t>in PBS for 1 h. Each step, beginning from the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neutravidin incubation, was followed by washing three times with 10 mM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MgCl</w:t>
      </w:r>
      <w:r w:rsidRPr="000D42F1">
        <w:rPr>
          <w:sz w:val="10"/>
          <w:szCs w:val="10"/>
          <w:lang w:val="en-US"/>
        </w:rPr>
        <w:t xml:space="preserve">2 </w:t>
      </w:r>
      <w:r w:rsidRPr="000D42F1">
        <w:rPr>
          <w:lang w:val="en-US"/>
        </w:rPr>
        <w:t>in PBS.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 xml:space="preserve">Imaging buffer was prepared by mixing 22.5 </w:t>
      </w:r>
      <w:r>
        <w:t>μ</w:t>
      </w:r>
      <w:r w:rsidRPr="000D42F1">
        <w:rPr>
          <w:lang w:val="en-US"/>
        </w:rPr>
        <w:t>l H</w:t>
      </w:r>
      <w:r w:rsidRPr="000D42F1">
        <w:rPr>
          <w:sz w:val="10"/>
          <w:szCs w:val="10"/>
          <w:lang w:val="en-US"/>
        </w:rPr>
        <w:t>2</w:t>
      </w:r>
      <w:r w:rsidRPr="000D42F1">
        <w:rPr>
          <w:lang w:val="en-US"/>
        </w:rPr>
        <w:t>O-based oxygen scavenger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system solution (based on glucose oxidase (Sigma-Aldrich) and catalase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(Sigma-Aldrich))</w:t>
      </w:r>
      <w:r w:rsidRPr="000D42F1">
        <w:rPr>
          <w:sz w:val="10"/>
          <w:szCs w:val="10"/>
          <w:lang w:val="en-US"/>
        </w:rPr>
        <w:t xml:space="preserve">52 </w:t>
      </w:r>
      <w:r w:rsidRPr="000D42F1">
        <w:rPr>
          <w:lang w:val="en-US"/>
        </w:rPr>
        <w:t xml:space="preserve">with 30 </w:t>
      </w:r>
      <w:r>
        <w:t>μ</w:t>
      </w:r>
      <w:r w:rsidRPr="000D42F1">
        <w:rPr>
          <w:lang w:val="en-US"/>
        </w:rPr>
        <w:t>l PBS. The buffer was supplemented with 2 mM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cyclooctatetraene (COT) (Sigma Aldrich) in the case of Alexa 647 imaging and with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different concentrations of mercaptoethylamine (MEA) (Sigma Aldrich). An MEA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concentration of 95 mM was used in the case of CellMask Deep Red, Alexa 488 and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Atto 488 imaging, which we found to yield good blinking behaviour on the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waveguide. In the case of all Alexa 647 imaging experiments on the waveguide, we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used an MEA concentration of 20 mM. The buffer for Alexa 647-labelled DNA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nanorulers on the conventional inverted microscope was prepared from D</w:t>
      </w:r>
      <w:r w:rsidRPr="000D42F1">
        <w:rPr>
          <w:sz w:val="10"/>
          <w:szCs w:val="10"/>
          <w:lang w:val="en-US"/>
        </w:rPr>
        <w:t>2</w:t>
      </w:r>
      <w:r w:rsidRPr="000D42F1">
        <w:rPr>
          <w:lang w:val="en-US"/>
        </w:rPr>
        <w:t>O-based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components, supplemented with 45 mM Tris, and contained MEA at a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concentration of 10 mM. The same MEA concentration with additional 2 mM COT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was used in H</w:t>
      </w:r>
      <w:r w:rsidRPr="000D42F1">
        <w:rPr>
          <w:sz w:val="10"/>
          <w:szCs w:val="10"/>
          <w:lang w:val="en-US"/>
        </w:rPr>
        <w:t>2</w:t>
      </w:r>
      <w:r w:rsidRPr="000D42F1">
        <w:rPr>
          <w:lang w:val="en-US"/>
        </w:rPr>
        <w:t>O-based buffer to record the example raw dSTORM data on the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conventional inverted set-up. Sub-diffraction-sized, fluorescent 100 nm TetraSpeck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microspheres (Life Technologies) at a low concentration (</w:t>
      </w:r>
      <w:r w:rsidRPr="000D42F1">
        <w:rPr>
          <w:rFonts w:ascii="Cambria Math" w:hAnsi="Cambria Math" w:cs="Cambria Math"/>
          <w:sz w:val="13"/>
          <w:szCs w:val="13"/>
          <w:lang w:val="en-US"/>
        </w:rPr>
        <w:t>∼</w:t>
      </w:r>
      <w:r w:rsidRPr="000D42F1">
        <w:rPr>
          <w:lang w:val="en-US"/>
        </w:rPr>
        <w:t>1:5,000 from stock) were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used to aid algorithmic drift correction of super-resolved images.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To prevent light from coupling into the coverslip, we mounted a custom-made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 xml:space="preserve">PDMS chamber of 120 </w:t>
      </w:r>
      <w:r>
        <w:t>μ</w:t>
      </w:r>
      <w:r w:rsidRPr="000D42F1">
        <w:rPr>
          <w:lang w:val="en-US"/>
        </w:rPr>
        <w:t>m height on top of the chip to lift the coverglass (#1.5)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(Thermo Fisher Scientific Gerhard Menzel), except for the experiment shown in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Fig. 5 and Supplementary Fig. 17. It was verified that only light guided by the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waveguide excites fluorescence (Supplementary Fig. 5 and Supplementary Movie 1).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The chamber also served as a vessel for the imaging buffer. Alternatively, the buffer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was held by capillary action between the chip and the coverslip directly deposited on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the waveguide. In the latter case, a small piece of black PDMS of significantly greater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height (</w:t>
      </w:r>
      <w:r w:rsidRPr="000D42F1">
        <w:rPr>
          <w:rFonts w:ascii="Cambria Math" w:hAnsi="Cambria Math" w:cs="Cambria Math"/>
          <w:sz w:val="13"/>
          <w:szCs w:val="13"/>
          <w:lang w:val="en-US"/>
        </w:rPr>
        <w:t>∼</w:t>
      </w:r>
      <w:r w:rsidRPr="000D42F1">
        <w:rPr>
          <w:lang w:val="en-US"/>
        </w:rPr>
        <w:t>2 mm) was applied close to the input facet to block any unguided light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before the coverslip (see experimental results in Fig. 5 and Supplementary Fig. 17).</w:t>
      </w:r>
    </w:p>
    <w:p w:rsidR="00DE6183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lastRenderedPageBreak/>
        <w:t>This PDMS was manufactured such that a thin layer touching the waveguide was</w:t>
      </w:r>
    </w:p>
    <w:p w:rsidR="00B1148D" w:rsidRPr="000D42F1" w:rsidRDefault="00DE6183" w:rsidP="00DE6183">
      <w:pPr>
        <w:pStyle w:val="KeinLeerraum"/>
        <w:rPr>
          <w:lang w:val="en-US"/>
        </w:rPr>
      </w:pPr>
      <w:r w:rsidRPr="000D42F1">
        <w:rPr>
          <w:lang w:val="en-US"/>
        </w:rPr>
        <w:t>transparent, to prevent light absorption by the black PDMS</w:t>
      </w:r>
    </w:p>
    <w:sectPr w:rsidR="00B1148D" w:rsidRPr="000D42F1" w:rsidSect="00BE4E7E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E712D4"/>
    <w:multiLevelType w:val="hybridMultilevel"/>
    <w:tmpl w:val="CD50FBAE"/>
    <w:lvl w:ilvl="0" w:tplc="F33CF29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995363F"/>
    <w:multiLevelType w:val="hybridMultilevel"/>
    <w:tmpl w:val="489CE330"/>
    <w:lvl w:ilvl="0" w:tplc="27D2FED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6183"/>
    <w:rsid w:val="000D42F1"/>
    <w:rsid w:val="00146F20"/>
    <w:rsid w:val="00B1148D"/>
    <w:rsid w:val="00BE4E7E"/>
    <w:rsid w:val="00DE6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06717F0"/>
  <w15:chartTrackingRefBased/>
  <w15:docId w15:val="{B3B6F1BB-C397-C349-9A29-494B4A2AC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0D42F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DE6183"/>
  </w:style>
  <w:style w:type="paragraph" w:styleId="Titel">
    <w:name w:val="Title"/>
    <w:basedOn w:val="Standard"/>
    <w:next w:val="Standard"/>
    <w:link w:val="TitelZchn"/>
    <w:uiPriority w:val="10"/>
    <w:qFormat/>
    <w:rsid w:val="00DE618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DE61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0D42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0D42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967</Words>
  <Characters>6096</Characters>
  <Application>Microsoft Office Word</Application>
  <DocSecurity>0</DocSecurity>
  <Lines>50</Lines>
  <Paragraphs>14</Paragraphs>
  <ScaleCrop>false</ScaleCrop>
  <Company/>
  <LinksUpToDate>false</LinksUpToDate>
  <CharactersWithSpaces>7049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Benedict Diederich</dc:creator>
  <cp:keywords/>
  <dc:description/>
  <cp:lastModifiedBy>Benedict Diederich</cp:lastModifiedBy>
  <cp:revision>3</cp:revision>
  <dcterms:created xsi:type="dcterms:W3CDTF">2018-07-23T09:55:00Z</dcterms:created>
  <dcterms:modified xsi:type="dcterms:W3CDTF">2018-07-23T10:37:00Z</dcterms:modified>
</cp:coreProperties>
</file>